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AA376B" w:rsidRPr="002F01CB" w:rsidTr="0099619D">
        <w:tc>
          <w:tcPr>
            <w:tcW w:w="9288" w:type="dxa"/>
            <w:gridSpan w:val="2"/>
            <w:shd w:val="clear" w:color="auto" w:fill="D9D9D9"/>
            <w:vAlign w:val="center"/>
          </w:tcPr>
          <w:p w:rsidR="00AA376B" w:rsidRPr="0099619D" w:rsidRDefault="00AA376B" w:rsidP="00D075B1">
            <w:pPr>
              <w:pStyle w:val="NoSpacing"/>
              <w:spacing w:line="200" w:lineRule="atLeast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r w:rsidRPr="0099619D">
              <w:rPr>
                <w:rFonts w:ascii="Arial" w:hAnsi="Arial" w:cs="Arial"/>
                <w:b/>
                <w:sz w:val="17"/>
                <w:szCs w:val="17"/>
                <w:lang w:val="en-GB"/>
              </w:rPr>
              <w:t xml:space="preserve">Factsheet </w:t>
            </w:r>
            <w:r w:rsidR="00D075B1">
              <w:rPr>
                <w:rFonts w:ascii="Arial" w:hAnsi="Arial" w:cs="Arial"/>
                <w:b/>
                <w:sz w:val="17"/>
                <w:szCs w:val="17"/>
                <w:lang w:val="en-GB"/>
              </w:rPr>
              <w:t>: Napo in…road to safety</w:t>
            </w:r>
          </w:p>
        </w:tc>
      </w:tr>
      <w:tr w:rsidR="00AA376B" w:rsidRPr="002F01CB" w:rsidTr="00960743">
        <w:trPr>
          <w:trHeight w:val="694"/>
        </w:trPr>
        <w:tc>
          <w:tcPr>
            <w:tcW w:w="2093" w:type="dxa"/>
          </w:tcPr>
          <w:p w:rsidR="00AA376B" w:rsidRPr="0099619D" w:rsidRDefault="00AA376B" w:rsidP="009D26B3">
            <w:pPr>
              <w:rPr>
                <w:rFonts w:cs="Arial"/>
                <w:sz w:val="17"/>
                <w:szCs w:val="17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AA376B" w:rsidRPr="00D075B1" w:rsidRDefault="00960743" w:rsidP="00D075B1">
            <w:pPr>
              <w:rPr>
                <w:rFonts w:cs="Arial"/>
                <w:bCs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A video showing </w:t>
            </w:r>
            <w:r w:rsidR="00D075B1" w:rsidRPr="00D075B1">
              <w:rPr>
                <w:rFonts w:cs="Arial"/>
                <w:bCs/>
                <w:sz w:val="17"/>
                <w:szCs w:val="17"/>
                <w:lang w:val="en-GB"/>
              </w:rPr>
              <w:t>issues facing professional dr</w:t>
            </w:r>
            <w:r w:rsidR="00D075B1">
              <w:rPr>
                <w:rFonts w:cs="Arial"/>
                <w:bCs/>
                <w:sz w:val="17"/>
                <w:szCs w:val="17"/>
                <w:lang w:val="en-GB"/>
              </w:rPr>
              <w:t>ivers on the road and emphasising</w:t>
            </w:r>
            <w:r w:rsidR="00D075B1" w:rsidRPr="00D075B1">
              <w:rPr>
                <w:rFonts w:cs="Arial"/>
                <w:bCs/>
                <w:sz w:val="17"/>
                <w:szCs w:val="17"/>
                <w:lang w:val="en-GB"/>
              </w:rPr>
              <w:t xml:space="preserve"> the importance of good planning and preparation before the journey starts. Key issues in the film include reversing</w:t>
            </w:r>
            <w:r w:rsidR="00D075B1">
              <w:rPr>
                <w:rFonts w:cs="Arial"/>
                <w:bCs/>
                <w:sz w:val="17"/>
                <w:szCs w:val="17"/>
                <w:lang w:val="en-GB"/>
              </w:rPr>
              <w:t xml:space="preserve">, safe loads, good maintenance or </w:t>
            </w:r>
            <w:r w:rsidR="00D075B1" w:rsidRPr="00D075B1">
              <w:rPr>
                <w:rFonts w:cs="Arial"/>
                <w:bCs/>
                <w:sz w:val="17"/>
                <w:szCs w:val="17"/>
                <w:lang w:val="en-GB"/>
              </w:rPr>
              <w:t>preparing for cold weather</w:t>
            </w:r>
            <w:r w:rsidR="00D075B1">
              <w:rPr>
                <w:rFonts w:cs="Arial"/>
                <w:bCs/>
                <w:sz w:val="17"/>
                <w:szCs w:val="17"/>
                <w:lang w:val="en-GB"/>
              </w:rPr>
              <w:t>.</w:t>
            </w:r>
            <w:r w:rsidR="00D075B1" w:rsidRPr="00D075B1">
              <w:rPr>
                <w:rFonts w:cs="Arial"/>
                <w:bCs/>
                <w:sz w:val="17"/>
                <w:szCs w:val="17"/>
                <w:lang w:val="en-GB"/>
              </w:rPr>
              <w:t xml:space="preserve"> </w:t>
            </w:r>
          </w:p>
        </w:tc>
      </w:tr>
      <w:tr w:rsidR="00AA376B" w:rsidRPr="002F01CB" w:rsidTr="0099619D">
        <w:trPr>
          <w:trHeight w:val="357"/>
        </w:trPr>
        <w:tc>
          <w:tcPr>
            <w:tcW w:w="2093" w:type="dxa"/>
          </w:tcPr>
          <w:p w:rsidR="00AA376B" w:rsidRPr="0099619D" w:rsidRDefault="00AA376B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AA376B" w:rsidRPr="00960743" w:rsidRDefault="00960743" w:rsidP="00D075B1">
            <w:pPr>
              <w:rPr>
                <w:lang w:val="en-GB"/>
              </w:rPr>
            </w:pPr>
            <w:r>
              <w:rPr>
                <w:rFonts w:cs="Arial"/>
                <w:bCs/>
                <w:sz w:val="17"/>
                <w:szCs w:val="17"/>
                <w:lang w:val="en-GB"/>
              </w:rPr>
              <w:t xml:space="preserve">Managers responsible for </w:t>
            </w:r>
            <w:r w:rsidR="00D075B1">
              <w:rPr>
                <w:rFonts w:cs="Arial"/>
                <w:bCs/>
                <w:sz w:val="17"/>
                <w:szCs w:val="17"/>
                <w:lang w:val="en-GB"/>
              </w:rPr>
              <w:t xml:space="preserve">ensuring vehicle safety, good planning and work organisation, and workers who have to drive as part of their daily job.  </w:t>
            </w:r>
          </w:p>
        </w:tc>
      </w:tr>
      <w:tr w:rsidR="00AA376B" w:rsidRPr="00960743" w:rsidTr="0099619D">
        <w:tc>
          <w:tcPr>
            <w:tcW w:w="2093" w:type="dxa"/>
          </w:tcPr>
          <w:p w:rsidR="00AA376B" w:rsidRPr="0099619D" w:rsidRDefault="00AA376B" w:rsidP="009D26B3">
            <w:pPr>
              <w:rPr>
                <w:rFonts w:cs="Arial"/>
                <w:sz w:val="17"/>
                <w:szCs w:val="17"/>
                <w:lang w:val="en-US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AA376B" w:rsidRPr="0099619D" w:rsidRDefault="00AA376B" w:rsidP="0099619D">
            <w:pPr>
              <w:pStyle w:val="NoSpacing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AA376B" w:rsidRPr="0099619D" w:rsidRDefault="00960743" w:rsidP="00D075B1">
            <w:pPr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A</w:t>
            </w:r>
            <w:r w:rsidRPr="0099619D">
              <w:rPr>
                <w:rFonts w:cs="Arial"/>
                <w:sz w:val="17"/>
                <w:szCs w:val="17"/>
                <w:lang w:val="en-US"/>
              </w:rPr>
              <w:t xml:space="preserve">ccidents </w:t>
            </w:r>
            <w:r w:rsidR="00D075B1">
              <w:rPr>
                <w:rFonts w:cs="Arial"/>
                <w:sz w:val="17"/>
                <w:szCs w:val="17"/>
                <w:lang w:val="en-US"/>
              </w:rPr>
              <w:t>on the road</w:t>
            </w:r>
          </w:p>
        </w:tc>
      </w:tr>
      <w:tr w:rsidR="00AA376B" w:rsidRPr="002F01CB" w:rsidTr="0099619D">
        <w:tc>
          <w:tcPr>
            <w:tcW w:w="2093" w:type="dxa"/>
          </w:tcPr>
          <w:p w:rsidR="00AA376B" w:rsidRPr="0099619D" w:rsidRDefault="00AA376B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960743" w:rsidRPr="00960743" w:rsidRDefault="00D075B1" w:rsidP="00960743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Watch the entire film or individual scenes and follow </w:t>
            </w:r>
            <w:r w:rsidR="00A517FB">
              <w:rPr>
                <w:rFonts w:cs="Arial"/>
                <w:sz w:val="17"/>
                <w:szCs w:val="17"/>
                <w:lang w:val="en-GB"/>
              </w:rPr>
              <w:t>the advice</w:t>
            </w:r>
            <w:r w:rsidR="00AD1C30">
              <w:rPr>
                <w:rFonts w:cs="Arial"/>
                <w:sz w:val="17"/>
                <w:szCs w:val="17"/>
                <w:lang w:val="en-GB"/>
              </w:rPr>
              <w:t>s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  <w:p w:rsidR="00AA376B" w:rsidRPr="0099619D" w:rsidRDefault="00AA376B" w:rsidP="00960743">
            <w:pPr>
              <w:rPr>
                <w:rFonts w:cs="Arial"/>
                <w:sz w:val="17"/>
                <w:szCs w:val="17"/>
                <w:lang w:val="en-GB"/>
              </w:rPr>
            </w:pPr>
            <w:bookmarkStart w:id="0" w:name="_GoBack"/>
            <w:bookmarkEnd w:id="0"/>
          </w:p>
        </w:tc>
      </w:tr>
      <w:tr w:rsidR="00AA376B" w:rsidRPr="007A6522" w:rsidTr="0099619D">
        <w:trPr>
          <w:trHeight w:val="283"/>
        </w:trPr>
        <w:tc>
          <w:tcPr>
            <w:tcW w:w="2093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Video</w:t>
            </w:r>
          </w:p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AA376B" w:rsidRPr="002F01CB" w:rsidTr="0099619D">
        <w:tc>
          <w:tcPr>
            <w:tcW w:w="2093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AA376B" w:rsidRPr="0099619D" w:rsidRDefault="00D075B1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da-DK"/>
              </w:rPr>
              <w:t>The Napo Consortium and the European Agency for Safety and Health at Work (EU-OSHA)</w:t>
            </w:r>
          </w:p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AA376B" w:rsidRPr="007A6522" w:rsidTr="0099619D">
        <w:tc>
          <w:tcPr>
            <w:tcW w:w="2093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AA376B" w:rsidRPr="0099619D" w:rsidRDefault="00AA376B" w:rsidP="00BA7C9A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Website</w:t>
            </w:r>
            <w:r w:rsidR="00D075B1">
              <w:rPr>
                <w:rFonts w:cs="Arial"/>
                <w:sz w:val="17"/>
                <w:szCs w:val="17"/>
                <w:lang w:val="en-GB"/>
              </w:rPr>
              <w:t xml:space="preserve"> / </w:t>
            </w:r>
            <w:proofErr w:type="spellStart"/>
            <w:r w:rsidR="00D075B1">
              <w:rPr>
                <w:rFonts w:cs="Arial"/>
                <w:sz w:val="17"/>
                <w:szCs w:val="17"/>
                <w:lang w:val="en-GB"/>
              </w:rPr>
              <w:t>Youtube</w:t>
            </w:r>
            <w:proofErr w:type="spellEnd"/>
          </w:p>
          <w:p w:rsidR="00AA376B" w:rsidRPr="0099619D" w:rsidRDefault="00AA376B" w:rsidP="00BA7C9A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AA376B" w:rsidRPr="002F01CB" w:rsidTr="0099619D">
        <w:trPr>
          <w:trHeight w:val="70"/>
        </w:trPr>
        <w:tc>
          <w:tcPr>
            <w:tcW w:w="2093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AA376B" w:rsidRPr="0099619D" w:rsidRDefault="00AA376B" w:rsidP="00C575E4">
            <w:pPr>
              <w:rPr>
                <w:sz w:val="17"/>
                <w:szCs w:val="17"/>
                <w:lang w:val="en-US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Video available at:</w:t>
            </w:r>
            <w:r w:rsidR="00634736" w:rsidRPr="002F01CB">
              <w:rPr>
                <w:lang w:val="en-GB"/>
              </w:rPr>
              <w:t xml:space="preserve"> </w:t>
            </w:r>
            <w:hyperlink r:id="rId10" w:history="1">
              <w:r w:rsidR="00634736" w:rsidRPr="00D53ACF">
                <w:rPr>
                  <w:rStyle w:val="Hyperlink"/>
                  <w:rFonts w:cs="Arial"/>
                  <w:sz w:val="17"/>
                  <w:szCs w:val="17"/>
                  <w:lang w:val="en-GB"/>
                </w:rPr>
                <w:t>https://www.napofilm.net/en/napos-films/napo-road-safety</w:t>
              </w:r>
            </w:hyperlink>
            <w:r w:rsidR="00634736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D075B1" w:rsidRPr="002F01CB">
              <w:rPr>
                <w:lang w:val="en-GB"/>
              </w:rPr>
              <w:t xml:space="preserve"> </w:t>
            </w:r>
          </w:p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US"/>
              </w:rPr>
            </w:pPr>
          </w:p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US"/>
              </w:rPr>
            </w:pPr>
            <w:r w:rsidRPr="0099619D">
              <w:rPr>
                <w:sz w:val="17"/>
                <w:szCs w:val="17"/>
                <w:lang w:val="en-US"/>
              </w:rPr>
              <w:t xml:space="preserve">Without spoken language, </w:t>
            </w:r>
            <w:r w:rsidR="00AD1C30">
              <w:rPr>
                <w:sz w:val="17"/>
                <w:szCs w:val="17"/>
                <w:lang w:val="en-US"/>
              </w:rPr>
              <w:t xml:space="preserve">it </w:t>
            </w:r>
            <w:r w:rsidRPr="0099619D">
              <w:rPr>
                <w:sz w:val="17"/>
                <w:szCs w:val="17"/>
                <w:lang w:val="en-US"/>
              </w:rPr>
              <w:t>can be used in all countries.</w:t>
            </w:r>
          </w:p>
        </w:tc>
      </w:tr>
      <w:tr w:rsidR="00AA376B" w:rsidRPr="002F01CB" w:rsidTr="0099619D">
        <w:tc>
          <w:tcPr>
            <w:tcW w:w="2093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765D00" w:rsidRDefault="00765D00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Type of sector: transport, delivery</w:t>
            </w:r>
          </w:p>
          <w:p w:rsidR="00D075B1" w:rsidRPr="0099619D" w:rsidRDefault="00D075B1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Type of tasks: loading, maintenance,</w:t>
            </w:r>
            <w:r w:rsidR="00765D00">
              <w:rPr>
                <w:rFonts w:cs="Arial"/>
                <w:sz w:val="17"/>
                <w:szCs w:val="17"/>
                <w:lang w:val="en-GB"/>
              </w:rPr>
              <w:t xml:space="preserve"> delivery, driving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  <w:p w:rsidR="00AA376B" w:rsidRDefault="00AA376B" w:rsidP="009F146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 xml:space="preserve">Type of vehicle: </w:t>
            </w:r>
            <w:r w:rsidR="00765D00">
              <w:rPr>
                <w:rFonts w:cs="Arial"/>
                <w:sz w:val="17"/>
                <w:szCs w:val="17"/>
                <w:lang w:val="en-GB"/>
              </w:rPr>
              <w:t>van, truck, people carrier, car</w:t>
            </w:r>
          </w:p>
          <w:p w:rsidR="00765D00" w:rsidRPr="0099619D" w:rsidRDefault="00765D00" w:rsidP="009F1464">
            <w:pPr>
              <w:rPr>
                <w:rFonts w:cs="Arial"/>
                <w:sz w:val="17"/>
                <w:szCs w:val="17"/>
                <w:lang w:val="en-GB"/>
              </w:rPr>
            </w:pPr>
            <w:r w:rsidRPr="0099619D">
              <w:rPr>
                <w:rFonts w:cs="Arial"/>
                <w:sz w:val="17"/>
                <w:szCs w:val="17"/>
                <w:lang w:val="en-GB"/>
              </w:rPr>
              <w:t xml:space="preserve">Type of </w:t>
            </w:r>
            <w:r>
              <w:rPr>
                <w:rFonts w:cs="Arial"/>
                <w:sz w:val="17"/>
                <w:szCs w:val="17"/>
                <w:lang w:val="en-GB"/>
              </w:rPr>
              <w:t>issues</w:t>
            </w:r>
            <w:r w:rsidRPr="0099619D">
              <w:rPr>
                <w:rFonts w:cs="Arial"/>
                <w:sz w:val="17"/>
                <w:szCs w:val="17"/>
                <w:lang w:val="en-GB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GB"/>
              </w:rPr>
              <w:t>stress, fatigue, time pressure, cold weather, distraction, safety</w:t>
            </w:r>
          </w:p>
        </w:tc>
      </w:tr>
      <w:tr w:rsidR="00AA376B" w:rsidRPr="002F01CB" w:rsidTr="0099619D">
        <w:tc>
          <w:tcPr>
            <w:tcW w:w="2093" w:type="dxa"/>
          </w:tcPr>
          <w:p w:rsidR="00AA376B" w:rsidRPr="0099619D" w:rsidRDefault="00AA376B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Risk statements for OIRA</w:t>
            </w:r>
          </w:p>
        </w:tc>
        <w:tc>
          <w:tcPr>
            <w:tcW w:w="7195" w:type="dxa"/>
          </w:tcPr>
          <w:p w:rsidR="00AA376B" w:rsidRPr="0099619D" w:rsidRDefault="00765D00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Accidents on the road when driving and delivering goods are prevented</w:t>
            </w:r>
          </w:p>
        </w:tc>
      </w:tr>
    </w:tbl>
    <w:p w:rsidR="00AA376B" w:rsidRPr="007A6522" w:rsidRDefault="00AA376B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AA376B" w:rsidRPr="007A6522" w:rsidRDefault="00AA376B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p w:rsidR="00AA376B" w:rsidRPr="007A6522" w:rsidRDefault="00AA376B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AA376B" w:rsidRPr="007A6522" w:rsidSect="003E793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14" w:rsidRDefault="00A17014">
      <w:r>
        <w:separator/>
      </w:r>
    </w:p>
  </w:endnote>
  <w:endnote w:type="continuationSeparator" w:id="0">
    <w:p w:rsidR="00A17014" w:rsidRDefault="00A1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76B" w:rsidRDefault="00AA376B" w:rsidP="00EF696B">
    <w:pPr>
      <w:pStyle w:val="Footer"/>
      <w:jc w:val="right"/>
    </w:pP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76B" w:rsidRPr="00657482" w:rsidRDefault="00AA376B" w:rsidP="00657482">
    <w:pPr>
      <w:pStyle w:val="Footer"/>
      <w:rPr>
        <w:rFonts w:ascii="Arial" w:hAnsi="Arial"/>
        <w:lang w:val="en-GB"/>
      </w:rPr>
    </w:pPr>
    <w:proofErr w:type="spellStart"/>
    <w:r>
      <w:rPr>
        <w:rStyle w:val="PageNumber"/>
        <w:rFonts w:ascii="Arial" w:hAnsi="Arial"/>
        <w:lang w:val="en-GB"/>
      </w:rPr>
      <w:t>VeSafe</w:t>
    </w:r>
    <w:proofErr w:type="spellEnd"/>
    <w:r>
      <w:rPr>
        <w:rStyle w:val="PageNumber"/>
        <w:rFonts w:ascii="Arial" w:hAnsi="Arial"/>
        <w:lang w:val="en-GB"/>
      </w:rPr>
      <w:tab/>
      <w:t>-</w:t>
    </w:r>
    <w:r>
      <w:rPr>
        <w:rStyle w:val="PageNumber"/>
        <w:rFonts w:ascii="Arial" w:hAnsi="Arial"/>
        <w:lang w:val="en-GB"/>
      </w:rPr>
      <w:tab/>
      <w:t>Your</w:t>
    </w:r>
    <w:r w:rsidRPr="00657482">
      <w:rPr>
        <w:rStyle w:val="PageNumber"/>
        <w:rFonts w:ascii="Arial" w:hAnsi="Arial"/>
        <w:lang w:val="en-GB"/>
      </w:rPr>
      <w:t xml:space="preserve"> one stop shop for </w:t>
    </w:r>
    <w:r>
      <w:rPr>
        <w:rStyle w:val="PageNumber"/>
        <w:rFonts w:ascii="Arial" w:hAnsi="Arial"/>
        <w:lang w:val="en-GB"/>
      </w:rPr>
      <w:t>transport</w:t>
    </w:r>
    <w:r w:rsidRPr="00657482">
      <w:rPr>
        <w:rStyle w:val="PageNumber"/>
        <w:rFonts w:ascii="Arial" w:hAnsi="Arial"/>
        <w:lang w:val="en-GB"/>
      </w:rPr>
      <w:t xml:space="preserve"> safety</w:t>
    </w:r>
    <w:r>
      <w:rPr>
        <w:rStyle w:val="PageNumber"/>
        <w:rFonts w:ascii="Arial" w:hAnsi="Arial"/>
        <w:lang w:val="en-GB"/>
      </w:rPr>
      <w:tab/>
      <w:t>-</w:t>
    </w:r>
    <w:r>
      <w:rPr>
        <w:rStyle w:val="PageNumber"/>
        <w:rFonts w:ascii="Arial" w:hAnsi="Arial"/>
        <w:lang w:val="en-GB"/>
      </w:rPr>
      <w:tab/>
    </w:r>
    <w:r>
      <w:rPr>
        <w:rStyle w:val="PageNumber"/>
        <w:rFonts w:ascii="Arial" w:hAnsi="Arial"/>
        <w:lang w:val="en-GB"/>
      </w:rPr>
      <w:tab/>
    </w:r>
    <w:hyperlink r:id="rId1" w:history="1">
      <w:r w:rsidRPr="00426F51">
        <w:rPr>
          <w:rStyle w:val="Hyperlink"/>
          <w:rFonts w:ascii="Arial" w:hAnsi="Arial"/>
          <w:lang w:val="en-GB"/>
        </w:rPr>
        <w:t>http://thin.se/</w:t>
      </w:r>
      <w:r w:rsidRPr="00426F51">
        <w:rPr>
          <w:rStyle w:val="Hyperlink"/>
          <w:rFonts w:ascii="Arial" w:hAnsi="Arial"/>
          <w:highlight w:val="yellow"/>
          <w:lang w:val="en-GB"/>
        </w:rPr>
        <w:t>??</w:t>
      </w:r>
      <w:r w:rsidRPr="00426F51">
        <w:rPr>
          <w:rStyle w:val="Hyperlink"/>
          <w:rFonts w:ascii="Arial" w:hAnsi="Arial"/>
          <w:lang w:val="en-GB"/>
        </w:rPr>
        <w:t>t/</w:t>
      </w:r>
    </w:hyperlink>
    <w:r>
      <w:rPr>
        <w:rStyle w:val="PageNumber"/>
        <w:rFonts w:ascii="Arial" w:hAnsi="Arial"/>
        <w:lang w:val="en-GB"/>
      </w:rPr>
      <w:t xml:space="preserve"> </w:t>
    </w:r>
    <w:r>
      <w:rPr>
        <w:rStyle w:val="PageNumb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14" w:rsidRDefault="00A17014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A17014" w:rsidRDefault="00A17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76B" w:rsidRDefault="00AA376B" w:rsidP="00A1141C">
    <w:pPr>
      <w:pStyle w:val="Header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76B" w:rsidRPr="009B61D3" w:rsidRDefault="00AA376B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AA376B" w:rsidRPr="00657482" w:rsidRDefault="00AA376B" w:rsidP="0011002A">
    <w:pPr>
      <w:pStyle w:val="vhpadresafzender"/>
      <w:framePr w:w="5245" w:wrap="around" w:x="8917"/>
      <w:rPr>
        <w:lang w:val="en-GB"/>
      </w:rPr>
    </w:pPr>
  </w:p>
  <w:p w:rsidR="00AA376B" w:rsidRDefault="00960743" w:rsidP="00C95ED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376B" w:rsidRPr="00C95ED1" w:rsidRDefault="00AA376B" w:rsidP="00C95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1" w15:restartNumberingAfterBreak="0">
    <w:nsid w:val="0B836276"/>
    <w:multiLevelType w:val="multilevel"/>
    <w:tmpl w:val="14FC8912"/>
    <w:numStyleLink w:val="opsommingnummers"/>
  </w:abstractNum>
  <w:abstractNum w:abstractNumId="2" w15:restartNumberingAfterBreak="0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5" w15:restartNumberingAfterBreak="0">
    <w:nsid w:val="2C3D5499"/>
    <w:multiLevelType w:val="multilevel"/>
    <w:tmpl w:val="7B54C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7" w15:restartNumberingAfterBreak="0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6A6FEF"/>
    <w:multiLevelType w:val="multilevel"/>
    <w:tmpl w:val="18C81E8C"/>
    <w:numStyleLink w:val="opsommingtekens"/>
  </w:abstractNum>
  <w:abstractNum w:abstractNumId="15" w15:restartNumberingAfterBreak="0">
    <w:nsid w:val="67FB444A"/>
    <w:multiLevelType w:val="multilevel"/>
    <w:tmpl w:val="18C81E8C"/>
    <w:numStyleLink w:val="opsommingtekens"/>
  </w:abstractNum>
  <w:abstractNum w:abstractNumId="16" w15:restartNumberingAfterBreak="0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18" w15:restartNumberingAfterBreak="0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9" w15:restartNumberingAfterBreak="0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0" w15:restartNumberingAfterBreak="0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06520"/>
    <w:multiLevelType w:val="multilevel"/>
    <w:tmpl w:val="14FC8912"/>
    <w:numStyleLink w:val="opsommingnummers"/>
  </w:abstractNum>
  <w:num w:numId="1">
    <w:abstractNumId w:val="4"/>
  </w:num>
  <w:num w:numId="2">
    <w:abstractNumId w:val="6"/>
  </w:num>
  <w:num w:numId="3">
    <w:abstractNumId w:val="3"/>
  </w:num>
  <w:num w:numId="4">
    <w:abstractNumId w:val="17"/>
  </w:num>
  <w:num w:numId="5">
    <w:abstractNumId w:val="2"/>
  </w:num>
  <w:num w:numId="6">
    <w:abstractNumId w:val="12"/>
  </w:num>
  <w:num w:numId="7">
    <w:abstractNumId w:val="10"/>
  </w:num>
  <w:num w:numId="8">
    <w:abstractNumId w:val="18"/>
  </w:num>
  <w:num w:numId="9">
    <w:abstractNumId w:val="19"/>
  </w:num>
  <w:num w:numId="10">
    <w:abstractNumId w:val="17"/>
  </w:num>
  <w:num w:numId="11">
    <w:abstractNumId w:val="17"/>
  </w:num>
  <w:num w:numId="12">
    <w:abstractNumId w:val="10"/>
  </w:num>
  <w:num w:numId="13">
    <w:abstractNumId w:val="18"/>
  </w:num>
  <w:num w:numId="14">
    <w:abstractNumId w:val="21"/>
  </w:num>
  <w:num w:numId="15">
    <w:abstractNumId w:val="14"/>
  </w:num>
  <w:num w:numId="16">
    <w:abstractNumId w:val="1"/>
  </w:num>
  <w:num w:numId="17">
    <w:abstractNumId w:val="15"/>
  </w:num>
  <w:num w:numId="18">
    <w:abstractNumId w:val="11"/>
  </w:num>
  <w:num w:numId="19">
    <w:abstractNumId w:val="8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9"/>
  </w:num>
  <w:num w:numId="25">
    <w:abstractNumId w:val="16"/>
  </w:num>
  <w:num w:numId="26">
    <w:abstractNumId w:val="13"/>
  </w:num>
  <w:num w:numId="2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82"/>
    <w:rsid w:val="00000CD3"/>
    <w:rsid w:val="000359D5"/>
    <w:rsid w:val="000B16F8"/>
    <w:rsid w:val="000F0BA8"/>
    <w:rsid w:val="000F6862"/>
    <w:rsid w:val="00100B2E"/>
    <w:rsid w:val="0011002A"/>
    <w:rsid w:val="001104E1"/>
    <w:rsid w:val="0012231A"/>
    <w:rsid w:val="00125C2D"/>
    <w:rsid w:val="00132E13"/>
    <w:rsid w:val="00141820"/>
    <w:rsid w:val="00153A4F"/>
    <w:rsid w:val="00165780"/>
    <w:rsid w:val="00165C80"/>
    <w:rsid w:val="00186A26"/>
    <w:rsid w:val="00192483"/>
    <w:rsid w:val="00197F40"/>
    <w:rsid w:val="001B49F0"/>
    <w:rsid w:val="001B7E07"/>
    <w:rsid w:val="001D257A"/>
    <w:rsid w:val="001E1CFD"/>
    <w:rsid w:val="001E5D7A"/>
    <w:rsid w:val="001E5F46"/>
    <w:rsid w:val="001F258F"/>
    <w:rsid w:val="001F5946"/>
    <w:rsid w:val="0022592A"/>
    <w:rsid w:val="00246A97"/>
    <w:rsid w:val="00253FC3"/>
    <w:rsid w:val="00263FE9"/>
    <w:rsid w:val="00265A0D"/>
    <w:rsid w:val="00277056"/>
    <w:rsid w:val="0028013E"/>
    <w:rsid w:val="002809A8"/>
    <w:rsid w:val="0029129E"/>
    <w:rsid w:val="00291C0F"/>
    <w:rsid w:val="002A4DCF"/>
    <w:rsid w:val="002B25BA"/>
    <w:rsid w:val="002C1507"/>
    <w:rsid w:val="002F01CB"/>
    <w:rsid w:val="00342B0C"/>
    <w:rsid w:val="00355D0C"/>
    <w:rsid w:val="003664CD"/>
    <w:rsid w:val="00387640"/>
    <w:rsid w:val="00395FCE"/>
    <w:rsid w:val="003A117A"/>
    <w:rsid w:val="003D2818"/>
    <w:rsid w:val="003D4224"/>
    <w:rsid w:val="003D451E"/>
    <w:rsid w:val="003E45D0"/>
    <w:rsid w:val="003E793F"/>
    <w:rsid w:val="003F4886"/>
    <w:rsid w:val="00411143"/>
    <w:rsid w:val="0041212E"/>
    <w:rsid w:val="004121F9"/>
    <w:rsid w:val="00415925"/>
    <w:rsid w:val="00426F51"/>
    <w:rsid w:val="004324FE"/>
    <w:rsid w:val="0044525A"/>
    <w:rsid w:val="004650AD"/>
    <w:rsid w:val="00471165"/>
    <w:rsid w:val="0049168D"/>
    <w:rsid w:val="004A7BF2"/>
    <w:rsid w:val="004B4417"/>
    <w:rsid w:val="00512045"/>
    <w:rsid w:val="00513658"/>
    <w:rsid w:val="00531240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E05EE"/>
    <w:rsid w:val="005E332B"/>
    <w:rsid w:val="005E7452"/>
    <w:rsid w:val="005F3586"/>
    <w:rsid w:val="00605CB0"/>
    <w:rsid w:val="00620F9A"/>
    <w:rsid w:val="00624356"/>
    <w:rsid w:val="006313AA"/>
    <w:rsid w:val="00634736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B52C8"/>
    <w:rsid w:val="006B73BD"/>
    <w:rsid w:val="006C3D65"/>
    <w:rsid w:val="006C4434"/>
    <w:rsid w:val="006D545A"/>
    <w:rsid w:val="006E6ACE"/>
    <w:rsid w:val="006F0882"/>
    <w:rsid w:val="00707212"/>
    <w:rsid w:val="00722D88"/>
    <w:rsid w:val="00744DC9"/>
    <w:rsid w:val="00753EAF"/>
    <w:rsid w:val="00765D00"/>
    <w:rsid w:val="007776CE"/>
    <w:rsid w:val="00782FEA"/>
    <w:rsid w:val="00783E57"/>
    <w:rsid w:val="00784270"/>
    <w:rsid w:val="007848FD"/>
    <w:rsid w:val="00786AFE"/>
    <w:rsid w:val="007A24FA"/>
    <w:rsid w:val="007A6522"/>
    <w:rsid w:val="007D19DA"/>
    <w:rsid w:val="008107FC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A282C"/>
    <w:rsid w:val="008A29B0"/>
    <w:rsid w:val="008A53CA"/>
    <w:rsid w:val="008B57C9"/>
    <w:rsid w:val="008D3729"/>
    <w:rsid w:val="008D5135"/>
    <w:rsid w:val="008E6EC5"/>
    <w:rsid w:val="009053FC"/>
    <w:rsid w:val="009161B7"/>
    <w:rsid w:val="009224C6"/>
    <w:rsid w:val="00924425"/>
    <w:rsid w:val="00933AC8"/>
    <w:rsid w:val="00933D70"/>
    <w:rsid w:val="0095044C"/>
    <w:rsid w:val="00960743"/>
    <w:rsid w:val="00965B5B"/>
    <w:rsid w:val="0099619D"/>
    <w:rsid w:val="009A2541"/>
    <w:rsid w:val="009B61D3"/>
    <w:rsid w:val="009D26B3"/>
    <w:rsid w:val="009F1464"/>
    <w:rsid w:val="00A0477D"/>
    <w:rsid w:val="00A1141C"/>
    <w:rsid w:val="00A17014"/>
    <w:rsid w:val="00A2399F"/>
    <w:rsid w:val="00A261A2"/>
    <w:rsid w:val="00A517FB"/>
    <w:rsid w:val="00A531A3"/>
    <w:rsid w:val="00A62865"/>
    <w:rsid w:val="00A925D0"/>
    <w:rsid w:val="00A94134"/>
    <w:rsid w:val="00AA376B"/>
    <w:rsid w:val="00AA576C"/>
    <w:rsid w:val="00AB0712"/>
    <w:rsid w:val="00AD1C30"/>
    <w:rsid w:val="00AE1E68"/>
    <w:rsid w:val="00B01777"/>
    <w:rsid w:val="00B029BF"/>
    <w:rsid w:val="00B1387B"/>
    <w:rsid w:val="00B736EC"/>
    <w:rsid w:val="00B868D9"/>
    <w:rsid w:val="00BA7C9A"/>
    <w:rsid w:val="00BB6A61"/>
    <w:rsid w:val="00BB77B7"/>
    <w:rsid w:val="00BC078F"/>
    <w:rsid w:val="00BE1811"/>
    <w:rsid w:val="00BF737E"/>
    <w:rsid w:val="00BF7FE8"/>
    <w:rsid w:val="00C05997"/>
    <w:rsid w:val="00C17D24"/>
    <w:rsid w:val="00C272EA"/>
    <w:rsid w:val="00C31458"/>
    <w:rsid w:val="00C320C8"/>
    <w:rsid w:val="00C47472"/>
    <w:rsid w:val="00C575E4"/>
    <w:rsid w:val="00C677CC"/>
    <w:rsid w:val="00C71A2A"/>
    <w:rsid w:val="00C81D5E"/>
    <w:rsid w:val="00C95ED1"/>
    <w:rsid w:val="00CB2DDB"/>
    <w:rsid w:val="00CB61D4"/>
    <w:rsid w:val="00D054DC"/>
    <w:rsid w:val="00D075B1"/>
    <w:rsid w:val="00D52FA5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C4436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864E8"/>
    <w:rsid w:val="00EC665C"/>
    <w:rsid w:val="00ED306B"/>
    <w:rsid w:val="00EE7CF5"/>
    <w:rsid w:val="00EF374E"/>
    <w:rsid w:val="00EF696B"/>
    <w:rsid w:val="00F00582"/>
    <w:rsid w:val="00F34984"/>
    <w:rsid w:val="00F66127"/>
    <w:rsid w:val="00F72154"/>
    <w:rsid w:val="00F73EE1"/>
    <w:rsid w:val="00F74600"/>
    <w:rsid w:val="00F76AF1"/>
    <w:rsid w:val="00F77212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E46EE7-E07C-4DC3-94A7-6D8D2A2C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E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E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E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EB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EB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EB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EB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EB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EB6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EB6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6EB6"/>
    <w:rPr>
      <w:rFonts w:ascii="Arial" w:hAnsi="Arial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Normal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Normal"/>
    <w:uiPriority w:val="99"/>
    <w:semiHidden/>
    <w:rsid w:val="00DB6F71"/>
    <w:pPr>
      <w:spacing w:before="40" w:after="20"/>
    </w:pPr>
  </w:style>
  <w:style w:type="character" w:styleId="Hyperlink">
    <w:name w:val="Hyperlink"/>
    <w:basedOn w:val="DefaultParagraphFont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Normal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Normal"/>
    <w:uiPriority w:val="99"/>
    <w:semiHidden/>
    <w:rsid w:val="00DB6F71"/>
    <w:pPr>
      <w:numPr>
        <w:numId w:val="9"/>
      </w:numPr>
      <w:ind w:left="0" w:firstLine="0"/>
    </w:pPr>
  </w:style>
  <w:style w:type="paragraph" w:styleId="TOC1">
    <w:name w:val="toc 1"/>
    <w:basedOn w:val="Normal"/>
    <w:next w:val="Normal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TOC2">
    <w:name w:val="toc 2"/>
    <w:basedOn w:val="Normal"/>
    <w:next w:val="Normal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TOC3">
    <w:name w:val="toc 3"/>
    <w:basedOn w:val="Normal"/>
    <w:next w:val="Normal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DB6F71"/>
    <w:pPr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DB6F71"/>
    <w:pPr>
      <w:ind w:left="284"/>
    </w:pPr>
  </w:style>
  <w:style w:type="paragraph" w:styleId="TOC7">
    <w:name w:val="toc 7"/>
    <w:basedOn w:val="Normal"/>
    <w:next w:val="Normal"/>
    <w:autoRedefine/>
    <w:uiPriority w:val="99"/>
    <w:semiHidden/>
    <w:rsid w:val="00DB6F71"/>
    <w:pPr>
      <w:ind w:left="567"/>
    </w:pPr>
  </w:style>
  <w:style w:type="paragraph" w:styleId="TOC8">
    <w:name w:val="toc 8"/>
    <w:basedOn w:val="Normal"/>
    <w:next w:val="Normal"/>
    <w:autoRedefine/>
    <w:uiPriority w:val="99"/>
    <w:semiHidden/>
    <w:rsid w:val="00DB6F71"/>
    <w:pPr>
      <w:ind w:left="851"/>
    </w:pPr>
  </w:style>
  <w:style w:type="paragraph" w:styleId="TOC9">
    <w:name w:val="toc 9"/>
    <w:basedOn w:val="Normal"/>
    <w:next w:val="Normal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Normal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Normal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Normal"/>
    <w:next w:val="Normal"/>
    <w:uiPriority w:val="99"/>
    <w:semiHidden/>
    <w:rsid w:val="00DB6F71"/>
  </w:style>
  <w:style w:type="paragraph" w:customStyle="1" w:styleId="titelpagina">
    <w:name w:val="titelpagina"/>
    <w:basedOn w:val="Normal"/>
    <w:next w:val="Normal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DefaultParagraphFont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Normal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Normal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Normal"/>
    <w:next w:val="Normal"/>
    <w:uiPriority w:val="99"/>
    <w:semiHidden/>
    <w:rsid w:val="00C71A2A"/>
  </w:style>
  <w:style w:type="table" w:styleId="TableTheme">
    <w:name w:val="Table Theme"/>
    <w:aliases w:val="tabel vhp rapport"/>
    <w:basedOn w:val="TableNorma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FootnoteReference">
    <w:name w:val="footnote reference"/>
    <w:basedOn w:val="DefaultParagraphFont"/>
    <w:uiPriority w:val="99"/>
    <w:semiHidden/>
    <w:rsid w:val="00DB6F7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B6F71"/>
    <w:rPr>
      <w:sz w:val="17"/>
      <w:szCs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EB6"/>
    <w:rPr>
      <w:rFonts w:ascii="Arial" w:hAnsi="Arial"/>
      <w:sz w:val="20"/>
      <w:szCs w:val="20"/>
    </w:rPr>
  </w:style>
  <w:style w:type="paragraph" w:styleId="ListParagraph">
    <w:name w:val="List Paragraph"/>
    <w:basedOn w:val="Normal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stParagraph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Caption">
    <w:name w:val="caption"/>
    <w:basedOn w:val="Normal"/>
    <w:next w:val="Normal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Normal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Normal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Normal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CommentReference">
    <w:name w:val="annotation reference"/>
    <w:basedOn w:val="DefaultParagraphFont"/>
    <w:uiPriority w:val="99"/>
    <w:rsid w:val="00C677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77CC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67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677CC"/>
    <w:rPr>
      <w:rFonts w:ascii="Arial" w:hAnsi="Arial" w:cs="Times New Roman"/>
      <w:b/>
      <w:bCs/>
    </w:rPr>
  </w:style>
  <w:style w:type="numbering" w:customStyle="1" w:styleId="opsommingnummers">
    <w:name w:val="opsomming nummers"/>
    <w:rsid w:val="00526EB6"/>
    <w:pPr>
      <w:numPr>
        <w:numId w:val="7"/>
      </w:numPr>
    </w:pPr>
  </w:style>
  <w:style w:type="numbering" w:customStyle="1" w:styleId="opsommingtekens">
    <w:name w:val="opsomming tekens"/>
    <w:rsid w:val="00526EB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449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449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7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7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7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pofilm.net/en/napos-films/napo-road-safe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??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4DF4E-2ABB-471A-B2AA-C0EA730D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6D3C6-1D81-4D9F-99A0-35EAC20AE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3EF6F6-6E77-4CE6-AFAA-CEC44388D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>vhp ergonomie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Annick STARREN</cp:lastModifiedBy>
  <cp:revision>2</cp:revision>
  <cp:lastPrinted>2017-06-12T06:58:00Z</cp:lastPrinted>
  <dcterms:created xsi:type="dcterms:W3CDTF">2017-07-10T15:27:00Z</dcterms:created>
  <dcterms:modified xsi:type="dcterms:W3CDTF">2017-07-10T15:27:00Z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